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702F64">
      <w:pPr>
        <w:snapToGrid w:val="0"/>
        <w:jc w:val="center"/>
        <w:rPr>
          <w:rFonts w:hint="eastAsia" w:ascii="黑体" w:eastAsia="黑体"/>
          <w:b/>
          <w:bCs/>
          <w:color w:val="000000"/>
          <w:sz w:val="72"/>
          <w:szCs w:val="72"/>
        </w:rPr>
      </w:pPr>
    </w:p>
    <w:p w14:paraId="4708B97A">
      <w:pPr>
        <w:snapToGrid w:val="0"/>
        <w:jc w:val="center"/>
        <w:rPr>
          <w:rFonts w:hint="eastAsia" w:ascii="宋体" w:hAnsi="宋体"/>
          <w:b/>
          <w:bCs/>
          <w:color w:val="000000"/>
          <w:sz w:val="72"/>
          <w:szCs w:val="72"/>
        </w:rPr>
      </w:pPr>
      <w:r>
        <w:rPr>
          <w:rFonts w:hint="eastAsia" w:ascii="黑体" w:eastAsia="黑体"/>
          <w:b/>
          <w:bCs/>
          <w:color w:val="000000"/>
          <w:sz w:val="72"/>
          <w:szCs w:val="72"/>
        </w:rPr>
        <w:t>内科护理</w:t>
      </w:r>
    </w:p>
    <w:p w14:paraId="21D5D160">
      <w:pPr>
        <w:snapToGrid w:val="0"/>
        <w:jc w:val="center"/>
        <w:rPr>
          <w:rFonts w:hint="eastAsia" w:ascii="宋体" w:hAnsi="宋体"/>
          <w:b/>
          <w:bCs/>
          <w:color w:val="000000"/>
          <w:sz w:val="72"/>
          <w:szCs w:val="72"/>
        </w:rPr>
      </w:pPr>
      <w:r>
        <w:rPr>
          <w:rFonts w:hint="eastAsia" w:ascii="宋体" w:hAnsi="宋体"/>
          <w:b/>
          <w:bCs/>
          <w:color w:val="000000"/>
          <w:sz w:val="72"/>
          <w:szCs w:val="72"/>
        </w:rPr>
        <w:t>课时教案</w:t>
      </w:r>
    </w:p>
    <w:p w14:paraId="2008E585">
      <w:pPr>
        <w:snapToGrid w:val="0"/>
        <w:jc w:val="center"/>
        <w:rPr>
          <w:rFonts w:hint="eastAsia" w:ascii="宋体" w:hAnsi="宋体"/>
          <w:b/>
          <w:bCs/>
          <w:color w:val="000000"/>
          <w:sz w:val="32"/>
          <w:szCs w:val="32"/>
          <w:u w:val="single" w:color="000000"/>
        </w:rPr>
      </w:pPr>
    </w:p>
    <w:p w14:paraId="23EF855A">
      <w:pPr>
        <w:snapToGrid w:val="0"/>
        <w:jc w:val="center"/>
        <w:rPr>
          <w:rFonts w:hint="eastAsia" w:ascii="黑体" w:eastAsia="黑体"/>
          <w:b/>
          <w:bCs/>
          <w:color w:val="000000"/>
          <w:sz w:val="32"/>
          <w:szCs w:val="32"/>
          <w:u w:val="single" w:color="000000"/>
        </w:rPr>
      </w:pPr>
    </w:p>
    <w:p w14:paraId="775138D5">
      <w:pPr>
        <w:snapToGrid w:val="0"/>
        <w:jc w:val="center"/>
        <w:rPr>
          <w:rFonts w:hint="eastAsia" w:ascii="宋体" w:hAnsi="宋体"/>
          <w:b/>
          <w:bCs/>
          <w:color w:val="000000"/>
          <w:sz w:val="32"/>
          <w:szCs w:val="32"/>
        </w:rPr>
      </w:pPr>
      <w:r>
        <w:rPr>
          <w:rFonts w:hint="eastAsia" w:ascii="宋体" w:hAnsi="宋体"/>
          <w:b/>
          <w:bCs/>
          <w:color w:val="000000"/>
          <w:sz w:val="32"/>
          <w:szCs w:val="32"/>
        </w:rPr>
        <w:t xml:space="preserve">  </w:t>
      </w:r>
      <w:r>
        <w:rPr>
          <w:rFonts w:hint="eastAsia" w:ascii="宋体" w:hAnsi="宋体"/>
          <w:b/>
          <w:bCs/>
          <w:color w:val="000000"/>
          <w:sz w:val="32"/>
          <w:szCs w:val="32"/>
          <w:u w:val="single"/>
        </w:rPr>
        <w:t xml:space="preserve">第 一 学 </w:t>
      </w:r>
      <w:r>
        <w:rPr>
          <w:rFonts w:hint="eastAsia" w:ascii="宋体" w:hAnsi="宋体"/>
          <w:b/>
          <w:bCs/>
          <w:color w:val="000000"/>
          <w:sz w:val="32"/>
          <w:szCs w:val="32"/>
        </w:rPr>
        <w:t>期</w:t>
      </w:r>
    </w:p>
    <w:p w14:paraId="36D80B19">
      <w:pPr>
        <w:snapToGrid w:val="0"/>
        <w:jc w:val="center"/>
        <w:rPr>
          <w:rFonts w:hint="eastAsia" w:ascii="宋体" w:hAnsi="宋体"/>
          <w:b/>
          <w:bCs/>
          <w:color w:val="000000"/>
          <w:sz w:val="32"/>
          <w:szCs w:val="32"/>
          <w:u w:val="single" w:color="000000"/>
        </w:rPr>
      </w:pPr>
    </w:p>
    <w:p w14:paraId="05E059C7">
      <w:pPr>
        <w:snapToGrid w:val="0"/>
        <w:jc w:val="center"/>
        <w:rPr>
          <w:rFonts w:hint="eastAsia" w:ascii="黑体" w:eastAsia="黑体"/>
          <w:b/>
          <w:bCs/>
          <w:color w:val="000000"/>
          <w:sz w:val="32"/>
          <w:szCs w:val="32"/>
          <w:u w:val="single" w:color="000000"/>
        </w:rPr>
      </w:pPr>
      <w:r>
        <w:rPr>
          <w:rFonts w:hint="eastAsia" w:ascii="黑体" w:eastAsia="黑体"/>
          <w:b/>
          <w:bCs/>
          <w:color w:val="000000"/>
          <w:sz w:val="32"/>
          <w:szCs w:val="32"/>
        </w:rPr>
        <w:t xml:space="preserve">  </w:t>
      </w:r>
    </w:p>
    <w:p w14:paraId="40A9A95B">
      <w:pPr>
        <w:snapToGrid w:val="0"/>
        <w:jc w:val="center"/>
        <w:rPr>
          <w:rFonts w:hint="eastAsia" w:ascii="黑体" w:eastAsia="黑体"/>
          <w:b/>
          <w:bCs/>
          <w:color w:val="000000"/>
          <w:sz w:val="44"/>
        </w:rPr>
      </w:pPr>
    </w:p>
    <w:p w14:paraId="6D3E2A73">
      <w:pPr>
        <w:snapToGrid w:val="0"/>
        <w:jc w:val="center"/>
        <w:rPr>
          <w:rFonts w:hint="eastAsia" w:ascii="黑体" w:eastAsia="黑体"/>
          <w:b/>
          <w:bCs/>
          <w:color w:val="000000"/>
          <w:sz w:val="44"/>
        </w:rPr>
      </w:pPr>
    </w:p>
    <w:p w14:paraId="52ED8572">
      <w:pPr>
        <w:snapToGrid w:val="0"/>
        <w:spacing w:line="360" w:lineRule="auto"/>
        <w:ind w:firstLine="1503" w:firstLineChars="499"/>
        <w:rPr>
          <w:rFonts w:hint="eastAsia" w:ascii="黑体" w:eastAsia="黑体"/>
          <w:b/>
          <w:bCs/>
          <w:color w:val="000000"/>
          <w:sz w:val="30"/>
          <w:szCs w:val="30"/>
        </w:rPr>
      </w:pPr>
    </w:p>
    <w:p w14:paraId="222D504E">
      <w:pPr>
        <w:snapToGrid w:val="0"/>
        <w:spacing w:line="480" w:lineRule="auto"/>
        <w:ind w:firstLine="1503" w:firstLineChars="499"/>
        <w:rPr>
          <w:rFonts w:hint="eastAsia" w:ascii="宋体" w:hAnsi="宋体"/>
          <w:b/>
          <w:bCs/>
          <w:color w:val="000000"/>
          <w:sz w:val="30"/>
          <w:szCs w:val="30"/>
          <w:u w:val="single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 xml:space="preserve">课程名称：内科护理             </w:t>
      </w:r>
    </w:p>
    <w:p w14:paraId="0394C40D">
      <w:pPr>
        <w:snapToGrid w:val="0"/>
        <w:spacing w:line="480" w:lineRule="auto"/>
        <w:ind w:firstLine="1503" w:firstLineChars="499"/>
        <w:rPr>
          <w:rFonts w:hint="eastAsia" w:ascii="宋体" w:hAnsi="宋体"/>
          <w:b/>
          <w:bCs/>
          <w:color w:val="000000"/>
          <w:sz w:val="30"/>
          <w:szCs w:val="30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 xml:space="preserve">任课教师：  ____________________                      </w:t>
      </w:r>
    </w:p>
    <w:p w14:paraId="5F3C4993">
      <w:pPr>
        <w:snapToGrid w:val="0"/>
        <w:spacing w:line="480" w:lineRule="auto"/>
        <w:ind w:firstLine="1503" w:firstLineChars="499"/>
        <w:rPr>
          <w:rFonts w:hint="eastAsia" w:ascii="宋体" w:hAnsi="宋体"/>
          <w:b/>
          <w:bCs/>
          <w:color w:val="000000"/>
          <w:sz w:val="30"/>
          <w:szCs w:val="30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 xml:space="preserve">职    称： _____________________                        </w:t>
      </w:r>
      <w:r>
        <w:rPr>
          <w:rFonts w:hint="eastAsia" w:ascii="黑体" w:eastAsia="黑体"/>
          <w:b/>
          <w:bCs/>
          <w:color w:val="000000"/>
          <w:sz w:val="30"/>
          <w:szCs w:val="30"/>
        </w:rPr>
        <w:t xml:space="preserve"> </w:t>
      </w:r>
    </w:p>
    <w:p w14:paraId="1E2188EE">
      <w:pPr>
        <w:snapToGrid w:val="0"/>
        <w:spacing w:line="480" w:lineRule="auto"/>
        <w:ind w:firstLine="1503" w:firstLineChars="499"/>
        <w:rPr>
          <w:rFonts w:hint="eastAsia" w:ascii="黑体" w:eastAsia="黑体"/>
          <w:b/>
          <w:bCs/>
          <w:color w:val="000000"/>
          <w:sz w:val="30"/>
          <w:szCs w:val="30"/>
        </w:rPr>
      </w:pPr>
    </w:p>
    <w:p w14:paraId="6721D79A">
      <w:pPr>
        <w:snapToGrid w:val="0"/>
        <w:jc w:val="center"/>
        <w:rPr>
          <w:rFonts w:hint="eastAsia" w:ascii="黑体" w:eastAsia="黑体"/>
          <w:b/>
          <w:bCs/>
          <w:color w:val="000000"/>
          <w:sz w:val="44"/>
        </w:rPr>
      </w:pPr>
    </w:p>
    <w:p w14:paraId="247602DD">
      <w:pPr>
        <w:snapToGrid w:val="0"/>
        <w:jc w:val="center"/>
        <w:rPr>
          <w:rFonts w:hint="eastAsia"/>
          <w:b/>
          <w:sz w:val="28"/>
          <w:szCs w:val="28"/>
        </w:rPr>
      </w:pPr>
      <w:r>
        <w:rPr>
          <w:rFonts w:hint="eastAsia" w:ascii="黑体" w:eastAsia="黑体"/>
          <w:b/>
          <w:bCs/>
          <w:color w:val="000000"/>
          <w:sz w:val="32"/>
          <w:szCs w:val="32"/>
        </w:rPr>
        <w:t>_____年_____月_____日</w:t>
      </w:r>
    </w:p>
    <w:p w14:paraId="07DAB2D8">
      <w:pPr>
        <w:rPr>
          <w:b/>
          <w:sz w:val="28"/>
          <w:szCs w:val="28"/>
        </w:rPr>
      </w:pPr>
    </w:p>
    <w:p w14:paraId="0CF5E1BE">
      <w:pPr>
        <w:widowControl/>
        <w:wordWrap w:val="0"/>
        <w:spacing w:line="330" w:lineRule="atLeast"/>
        <w:jc w:val="center"/>
        <w:rPr>
          <w:rFonts w:hint="eastAsia" w:ascii="黑体" w:hAnsi="宋体" w:eastAsia="黑体" w:cs="宋体"/>
          <w:b/>
          <w:bCs/>
          <w:kern w:val="0"/>
          <w:sz w:val="36"/>
          <w:szCs w:val="36"/>
        </w:rPr>
      </w:pPr>
    </w:p>
    <w:p w14:paraId="2A242686">
      <w:pPr>
        <w:widowControl/>
        <w:wordWrap w:val="0"/>
        <w:spacing w:line="330" w:lineRule="atLeast"/>
        <w:jc w:val="center"/>
        <w:rPr>
          <w:rFonts w:ascii="黑体" w:hAnsi="宋体" w:eastAsia="黑体" w:cs="宋体"/>
          <w:b/>
          <w:bCs/>
          <w:kern w:val="0"/>
          <w:sz w:val="36"/>
          <w:szCs w:val="36"/>
        </w:rPr>
      </w:pPr>
    </w:p>
    <w:p w14:paraId="361C8EDB">
      <w:pPr>
        <w:widowControl/>
        <w:wordWrap w:val="0"/>
        <w:spacing w:line="330" w:lineRule="atLeast"/>
        <w:jc w:val="center"/>
        <w:rPr>
          <w:rFonts w:ascii="黑体" w:hAnsi="宋体" w:eastAsia="黑体" w:cs="宋体"/>
          <w:b/>
          <w:bCs/>
          <w:kern w:val="0"/>
          <w:sz w:val="36"/>
          <w:szCs w:val="36"/>
        </w:rPr>
      </w:pPr>
    </w:p>
    <w:p w14:paraId="1E9B5337">
      <w:pPr>
        <w:widowControl/>
        <w:wordWrap w:val="0"/>
        <w:spacing w:line="330" w:lineRule="atLeast"/>
        <w:jc w:val="center"/>
        <w:rPr>
          <w:rFonts w:hint="eastAsia" w:ascii="黑体" w:hAnsi="宋体" w:eastAsia="黑体" w:cs="宋体"/>
          <w:b/>
          <w:bCs/>
          <w:kern w:val="0"/>
          <w:sz w:val="36"/>
          <w:szCs w:val="36"/>
        </w:rPr>
      </w:pPr>
    </w:p>
    <w:p w14:paraId="0B081F76">
      <w:pPr>
        <w:widowControl/>
        <w:wordWrap w:val="0"/>
        <w:spacing w:line="330" w:lineRule="atLeast"/>
        <w:jc w:val="center"/>
        <w:rPr>
          <w:rFonts w:hint="eastAsia" w:ascii="宋体" w:hAnsi="宋体" w:cs="宋体"/>
          <w:kern w:val="0"/>
          <w:sz w:val="18"/>
          <w:szCs w:val="18"/>
        </w:rPr>
      </w:pPr>
    </w:p>
    <w:p w14:paraId="61F80B38">
      <w:pPr>
        <w:widowControl/>
        <w:wordWrap w:val="0"/>
        <w:spacing w:line="330" w:lineRule="atLeast"/>
        <w:jc w:val="center"/>
        <w:rPr>
          <w:rFonts w:hint="eastAsia" w:ascii="宋体" w:hAnsi="宋体" w:cs="宋体"/>
          <w:kern w:val="0"/>
          <w:sz w:val="18"/>
          <w:szCs w:val="18"/>
        </w:rPr>
      </w:pPr>
    </w:p>
    <w:tbl>
      <w:tblPr>
        <w:tblStyle w:val="7"/>
        <w:tblW w:w="97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5"/>
      </w:tblGrid>
      <w:tr w14:paraId="17253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07D51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班级：************</w:t>
            </w:r>
            <w:r>
              <w:rPr>
                <w:rFonts w:ascii="宋体" w:hAnsi="宋体" w:cs="宋体"/>
                <w:b/>
                <w:kern w:val="0"/>
                <w:sz w:val="28"/>
                <w:szCs w:val="20"/>
              </w:rPr>
              <w:t xml:space="preserve">     </w:t>
            </w:r>
            <w:r>
              <w:rPr>
                <w:rFonts w:hint="eastAsia" w:cs="宋体"/>
                <w:b/>
                <w:kern w:val="0"/>
                <w:sz w:val="28"/>
                <w:szCs w:val="20"/>
              </w:rPr>
              <w:t>学时：</w:t>
            </w:r>
            <w:r>
              <w:rPr>
                <w:rFonts w:hint="eastAsia" w:cs="宋体"/>
                <w:b/>
                <w:kern w:val="0"/>
                <w:sz w:val="28"/>
                <w:szCs w:val="20"/>
                <w:lang w:val="en-US" w:eastAsia="zh-CN"/>
              </w:rPr>
              <w:t>2</w:t>
            </w:r>
            <w:r>
              <w:rPr>
                <w:rFonts w:ascii="宋体" w:hAnsi="宋体" w:cs="宋体"/>
                <w:b/>
                <w:kern w:val="0"/>
                <w:sz w:val="28"/>
                <w:szCs w:val="20"/>
              </w:rPr>
              <w:t xml:space="preserve">   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0"/>
              </w:rPr>
              <w:t>** 学年    第一学期</w:t>
            </w:r>
          </w:p>
        </w:tc>
      </w:tr>
      <w:tr w14:paraId="5A6C4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C84EF1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课程名称：内科护理</w:t>
            </w:r>
            <w:r>
              <w:rPr>
                <w:rFonts w:ascii="宋体" w:hAnsi="宋体" w:cs="宋体"/>
                <w:b/>
                <w:kern w:val="0"/>
                <w:sz w:val="28"/>
                <w:szCs w:val="20"/>
              </w:rPr>
              <w:t xml:space="preserve">       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0"/>
              </w:rPr>
              <w:t xml:space="preserve">       </w:t>
            </w:r>
          </w:p>
        </w:tc>
      </w:tr>
      <w:tr w14:paraId="1C373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03DD62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 xml:space="preserve">课题： </w:t>
            </w:r>
            <w:r>
              <w:rPr>
                <w:rFonts w:hint="eastAsia" w:cs="宋体"/>
                <w:b/>
                <w:kern w:val="0"/>
                <w:sz w:val="28"/>
                <w:szCs w:val="20"/>
                <w:lang w:val="en-US" w:eastAsia="zh-CN"/>
              </w:rPr>
              <w:t>泌尿</w:t>
            </w:r>
            <w:r>
              <w:rPr>
                <w:rFonts w:hint="eastAsia" w:cs="宋体"/>
                <w:b/>
                <w:kern w:val="0"/>
                <w:sz w:val="28"/>
                <w:szCs w:val="20"/>
              </w:rPr>
              <w:t>系统</w:t>
            </w:r>
            <w:r>
              <w:rPr>
                <w:rFonts w:hint="eastAsia" w:cs="宋体"/>
                <w:b/>
                <w:kern w:val="0"/>
                <w:sz w:val="28"/>
                <w:szCs w:val="20"/>
                <w:lang w:val="en-US" w:eastAsia="zh-CN"/>
              </w:rPr>
              <w:t>疾病</w:t>
            </w:r>
            <w:bookmarkStart w:id="0" w:name="_GoBack"/>
            <w:bookmarkEnd w:id="0"/>
            <w:r>
              <w:rPr>
                <w:rFonts w:hint="eastAsia" w:cs="宋体"/>
                <w:b/>
                <w:kern w:val="0"/>
                <w:sz w:val="28"/>
                <w:szCs w:val="20"/>
                <w:lang w:val="en-US" w:eastAsia="zh-CN"/>
              </w:rPr>
              <w:t>常见症状体征的护理</w:t>
            </w:r>
            <w:r>
              <w:rPr>
                <w:rFonts w:hint="eastAsia" w:cs="宋体"/>
                <w:b/>
                <w:kern w:val="0"/>
                <w:sz w:val="28"/>
                <w:szCs w:val="20"/>
              </w:rPr>
              <w:t xml:space="preserve"> </w:t>
            </w:r>
          </w:p>
        </w:tc>
      </w:tr>
      <w:tr w14:paraId="2970D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E7D2B1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教学目的和要求：</w:t>
            </w:r>
          </w:p>
        </w:tc>
      </w:tr>
      <w:tr w14:paraId="6AE3B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D63F58E">
            <w:pPr>
              <w:widowControl/>
              <w:numPr>
                <w:ilvl w:val="0"/>
                <w:numId w:val="0"/>
              </w:numPr>
              <w:spacing w:before="100" w:beforeAutospacing="1" w:after="100" w:afterAutospacing="1" w:line="360" w:lineRule="auto"/>
              <w:ind w:leftChars="0"/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lang w:val="en-US" w:eastAsia="zh-CN"/>
              </w:rPr>
              <w:t>素质目标：关心病人，具有高度的责任心、爱心，良好的职业道德和敬业精神。</w:t>
            </w:r>
          </w:p>
          <w:p w14:paraId="0312586B">
            <w:pPr>
              <w:widowControl/>
              <w:numPr>
                <w:ilvl w:val="0"/>
                <w:numId w:val="0"/>
              </w:numPr>
              <w:spacing w:before="100" w:beforeAutospacing="1" w:after="100" w:afterAutospacing="1" w:line="360" w:lineRule="auto"/>
              <w:ind w:leftChars="0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lang w:val="en-US" w:eastAsia="zh-CN"/>
              </w:rPr>
              <w:t>能力目标：能掌握泌尿系统疾病常见症状体征的护理诊断与护理措施。</w:t>
            </w:r>
          </w:p>
          <w:p w14:paraId="3CAAFFE6">
            <w:pPr>
              <w:widowControl/>
              <w:numPr>
                <w:ilvl w:val="0"/>
                <w:numId w:val="0"/>
              </w:numPr>
              <w:spacing w:before="100" w:beforeAutospacing="1" w:after="100" w:afterAutospacing="1" w:line="360" w:lineRule="auto"/>
              <w:ind w:leftChars="0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lang w:val="en-US" w:eastAsia="zh-CN"/>
              </w:rPr>
              <w:t>知识目标: 熟悉泌尿系统疾病症状体征的临床特点和护理要点。</w:t>
            </w:r>
          </w:p>
        </w:tc>
      </w:tr>
      <w:tr w14:paraId="3064F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D674D6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教学重点、难点：</w:t>
            </w:r>
          </w:p>
        </w:tc>
      </w:tr>
      <w:tr w14:paraId="29F8B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2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21E6CB">
            <w:pPr>
              <w:widowControl/>
              <w:numPr>
                <w:ilvl w:val="0"/>
                <w:numId w:val="0"/>
              </w:numPr>
              <w:spacing w:before="100" w:beforeAutospacing="1" w:after="100" w:afterAutospacing="1" w:line="360" w:lineRule="auto"/>
              <w:ind w:leftChars="0"/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</w:rPr>
            </w:pPr>
            <w:r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lang w:val="en-US" w:eastAsia="zh-CN"/>
              </w:rPr>
              <w:t>重点：泌尿系统常见症状体征的护理评估要点及核心护理措施；针对症状的健康指导内容</w:t>
            </w:r>
          </w:p>
          <w:p w14:paraId="481257B1">
            <w:pPr>
              <w:widowControl/>
              <w:numPr>
                <w:ilvl w:val="0"/>
                <w:numId w:val="0"/>
              </w:numPr>
              <w:spacing w:before="100" w:beforeAutospacing="1" w:after="100" w:afterAutospacing="1" w:line="360" w:lineRule="auto"/>
              <w:ind w:leftChars="0"/>
              <w:rPr>
                <w:rFonts w:hint="default" w:ascii="宋体" w:hAnsi="宋体" w:eastAsia="宋体" w:cs="宋体"/>
                <w:b/>
                <w:kern w:val="0"/>
                <w:sz w:val="28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</w:rPr>
              <w:t>难点：不同病因所致同一症状的护理措施差异化实施。</w:t>
            </w:r>
          </w:p>
        </w:tc>
      </w:tr>
      <w:tr w14:paraId="72533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0B4579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课时安排：</w:t>
            </w:r>
            <w:r>
              <w:rPr>
                <w:rFonts w:ascii="宋体" w:hAnsi="宋体" w:cs="宋体"/>
                <w:b/>
                <w:kern w:val="0"/>
                <w:sz w:val="28"/>
                <w:szCs w:val="20"/>
              </w:rPr>
              <w:t xml:space="preserve"> </w:t>
            </w:r>
          </w:p>
        </w:tc>
      </w:tr>
      <w:tr w14:paraId="74228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D3E807">
            <w:pPr>
              <w:widowControl/>
              <w:spacing w:before="100" w:beforeAutospacing="1" w:after="100" w:afterAutospacing="1" w:line="300" w:lineRule="atLeast"/>
              <w:jc w:val="left"/>
              <w:rPr>
                <w:rFonts w:hint="eastAsia" w:cs="宋体"/>
                <w:b/>
                <w:kern w:val="0"/>
                <w:sz w:val="28"/>
                <w:szCs w:val="20"/>
              </w:rPr>
            </w:pPr>
            <w:r>
              <w:rPr>
                <w:rFonts w:hint="eastAsia" w:ascii="宋体" w:hAnsi="宋体"/>
                <w:bCs/>
                <w:sz w:val="24"/>
              </w:rPr>
              <w:t>　　1、介绍该学科的相关知识导入新课、启发式提问  5分钟</w:t>
            </w:r>
          </w:p>
        </w:tc>
      </w:tr>
      <w:tr w14:paraId="5BFF9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332B86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ascii="宋体" w:hAnsi="宋体"/>
                <w:bCs/>
                <w:sz w:val="24"/>
              </w:rPr>
              <w:t>　　2、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泌尿系统常见症状体征的护理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/>
                <w:bCs/>
                <w:sz w:val="24"/>
              </w:rPr>
              <w:t>分钟</w:t>
            </w:r>
          </w:p>
        </w:tc>
      </w:tr>
      <w:tr w14:paraId="12222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FAD58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ascii="宋体" w:hAnsi="宋体"/>
                <w:bCs/>
                <w:sz w:val="24"/>
              </w:rPr>
              <w:t>　　3、回顾总结达标测评  10分钟</w:t>
            </w:r>
          </w:p>
        </w:tc>
      </w:tr>
      <w:tr w14:paraId="7BF56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3E2696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教法设计：</w:t>
            </w:r>
          </w:p>
        </w:tc>
      </w:tr>
      <w:tr w14:paraId="131A8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4D7968">
            <w:pPr>
              <w:widowControl/>
              <w:spacing w:before="100" w:beforeAutospacing="1" w:after="100" w:afterAutospacing="1" w:line="300" w:lineRule="atLeast"/>
              <w:ind w:firstLine="1320" w:firstLineChars="550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精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 xml:space="preserve">讲点拨  分组讨论  启发提问  </w:t>
            </w:r>
            <w:r>
              <w:rPr>
                <w:rFonts w:hint="eastAsia" w:cs="宋体"/>
                <w:kern w:val="0"/>
                <w:sz w:val="24"/>
              </w:rPr>
              <w:t>基础与临床联系法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 xml:space="preserve">  回顾总结</w:t>
            </w:r>
          </w:p>
        </w:tc>
      </w:tr>
      <w:tr w14:paraId="0C69F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ED7C9B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教学用具：</w:t>
            </w:r>
          </w:p>
        </w:tc>
      </w:tr>
      <w:tr w14:paraId="56F08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AF5C2A">
            <w:pPr>
              <w:widowControl/>
              <w:spacing w:before="100" w:beforeAutospacing="1" w:after="100" w:afterAutospacing="1" w:line="300" w:lineRule="atLeast"/>
              <w:ind w:firstLine="1320" w:firstLineChars="550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多媒体、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黑板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相结合    </w:t>
            </w:r>
          </w:p>
        </w:tc>
      </w:tr>
    </w:tbl>
    <w:p w14:paraId="1145795C">
      <w:pPr>
        <w:rPr>
          <w:rFonts w:hint="eastAsia"/>
        </w:rPr>
      </w:pPr>
    </w:p>
    <w:tbl>
      <w:tblPr>
        <w:tblStyle w:val="7"/>
        <w:tblW w:w="9640" w:type="dxa"/>
        <w:tblCellSpacing w:w="11" w:type="dxa"/>
        <w:tblInd w:w="-2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8"/>
        <w:gridCol w:w="1642"/>
      </w:tblGrid>
      <w:tr w14:paraId="3B5CF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tblCellSpacing w:w="11" w:type="dxa"/>
        </w:trPr>
        <w:tc>
          <w:tcPr>
            <w:tcW w:w="8003" w:type="dxa"/>
            <w:tcBorders>
              <w:top w:val="nil"/>
              <w:bottom w:val="nil"/>
              <w:right w:val="single" w:color="auto" w:sz="4" w:space="0"/>
            </w:tcBorders>
            <w:noWrap w:val="0"/>
            <w:vAlign w:val="center"/>
          </w:tcPr>
          <w:p w14:paraId="1D389A5F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ascii="宋体" w:hAnsi="宋体" w:cs="宋体"/>
                <w:b/>
                <w:kern w:val="0"/>
                <w:sz w:val="36"/>
                <w:szCs w:val="20"/>
              </w:rPr>
              <w:t xml:space="preserve">                </w:t>
            </w:r>
            <w:r>
              <w:rPr>
                <w:rFonts w:hint="eastAsia" w:cs="宋体"/>
                <w:b/>
                <w:kern w:val="0"/>
                <w:sz w:val="36"/>
                <w:szCs w:val="20"/>
              </w:rPr>
              <w:t>讲</w:t>
            </w:r>
            <w:r>
              <w:rPr>
                <w:rFonts w:ascii="宋体" w:hAnsi="宋体" w:cs="宋体"/>
                <w:b/>
                <w:kern w:val="0"/>
                <w:sz w:val="36"/>
                <w:szCs w:val="20"/>
              </w:rPr>
              <w:t xml:space="preserve"> </w:t>
            </w:r>
            <w:r>
              <w:rPr>
                <w:rFonts w:hint="eastAsia" w:cs="宋体"/>
                <w:b/>
                <w:kern w:val="0"/>
                <w:sz w:val="36"/>
                <w:szCs w:val="20"/>
              </w:rPr>
              <w:t>授</w:t>
            </w:r>
            <w:r>
              <w:rPr>
                <w:rFonts w:ascii="宋体" w:hAnsi="宋体" w:cs="宋体"/>
                <w:b/>
                <w:kern w:val="0"/>
                <w:sz w:val="36"/>
                <w:szCs w:val="20"/>
              </w:rPr>
              <w:t xml:space="preserve"> </w:t>
            </w:r>
            <w:r>
              <w:rPr>
                <w:rFonts w:hint="eastAsia" w:cs="宋体"/>
                <w:b/>
                <w:kern w:val="0"/>
                <w:sz w:val="36"/>
                <w:szCs w:val="20"/>
              </w:rPr>
              <w:t>内</w:t>
            </w:r>
            <w:r>
              <w:rPr>
                <w:rFonts w:ascii="宋体" w:hAnsi="宋体" w:cs="宋体"/>
                <w:b/>
                <w:kern w:val="0"/>
                <w:sz w:val="36"/>
                <w:szCs w:val="20"/>
              </w:rPr>
              <w:t xml:space="preserve"> </w:t>
            </w:r>
            <w:r>
              <w:rPr>
                <w:rFonts w:hint="eastAsia" w:cs="宋体"/>
                <w:b/>
                <w:kern w:val="0"/>
                <w:sz w:val="36"/>
                <w:szCs w:val="20"/>
              </w:rPr>
              <w:t>容</w:t>
            </w:r>
          </w:p>
        </w:tc>
        <w:tc>
          <w:tcPr>
            <w:tcW w:w="1571" w:type="dxa"/>
            <w:noWrap w:val="0"/>
            <w:vAlign w:val="center"/>
          </w:tcPr>
          <w:p w14:paraId="667712C5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36"/>
                <w:szCs w:val="20"/>
              </w:rPr>
              <w:t>旁批</w:t>
            </w:r>
          </w:p>
        </w:tc>
      </w:tr>
      <w:tr w14:paraId="6C52F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0" w:hRule="atLeast"/>
          <w:tblCellSpacing w:w="11" w:type="dxa"/>
        </w:trPr>
        <w:tc>
          <w:tcPr>
            <w:tcW w:w="8003" w:type="dxa"/>
            <w:tcBorders>
              <w:top w:val="nil"/>
              <w:bottom w:val="nil"/>
              <w:right w:val="single" w:color="auto" w:sz="4" w:space="0"/>
            </w:tcBorders>
            <w:noWrap w:val="0"/>
            <w:vAlign w:val="center"/>
          </w:tcPr>
          <w:p w14:paraId="230E84FB">
            <w:pPr>
              <w:spacing w:line="360" w:lineRule="exact"/>
              <w:ind w:firstLine="480"/>
              <w:jc w:val="center"/>
              <w:rPr>
                <w:rFonts w:eastAsia="等线 Light"/>
                <w:b/>
                <w:bCs/>
                <w:sz w:val="36"/>
                <w:szCs w:val="36"/>
              </w:rPr>
            </w:pPr>
            <w:r>
              <w:rPr>
                <w:rFonts w:hint="eastAsia" w:eastAsia="等线 Light"/>
                <w:b/>
                <w:bCs/>
                <w:sz w:val="36"/>
                <w:szCs w:val="36"/>
              </w:rPr>
              <w:t>泌尿系统常见症状体征的护理</w:t>
            </w:r>
          </w:p>
          <w:p w14:paraId="7CC76034">
            <w:pPr>
              <w:rPr>
                <w:rFonts w:hint="eastAsia"/>
              </w:rPr>
            </w:pPr>
            <w:r>
              <w:rPr>
                <w:rFonts w:hint="eastAsia" w:ascii="黑体" w:eastAsia="黑体"/>
              </w:rPr>
              <w:t xml:space="preserve">[学习时数] </w:t>
            </w:r>
            <w:r>
              <w:rPr>
                <w:rFonts w:hint="eastAsia" w:eastAsia="黑体"/>
              </w:rPr>
              <w:t>2</w:t>
            </w:r>
            <w:r>
              <w:rPr>
                <w:rFonts w:hint="eastAsia"/>
              </w:rPr>
              <w:t>学时</w:t>
            </w:r>
          </w:p>
          <w:p w14:paraId="20C18919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一、肾性</w:t>
            </w:r>
            <w:r>
              <w:rPr>
                <w:rFonts w:hint="eastAsia"/>
              </w:rPr>
              <w:t>水肿​</w:t>
            </w:r>
          </w:p>
          <w:p w14:paraId="59141C3C">
            <w:pPr>
              <w:rPr>
                <w:rFonts w:hint="eastAsia"/>
              </w:rPr>
            </w:pPr>
            <w:r>
              <w:rPr>
                <w:rFonts w:hint="eastAsia"/>
              </w:rPr>
              <w:t>（1）概念与</w:t>
            </w:r>
            <w:r>
              <w:rPr>
                <w:rFonts w:hint="eastAsia"/>
                <w:lang w:val="en-US" w:eastAsia="zh-CN"/>
              </w:rPr>
              <w:t>护理评估</w:t>
            </w:r>
            <w:r>
              <w:rPr>
                <w:rFonts w:hint="eastAsia"/>
              </w:rPr>
              <w:t>​</w:t>
            </w:r>
          </w:p>
          <w:p w14:paraId="550DBD1B">
            <w:pPr>
              <w:rPr>
                <w:rFonts w:hint="eastAsia"/>
              </w:rPr>
            </w:pPr>
            <w:r>
              <w:rPr>
                <w:rFonts w:hint="eastAsia"/>
              </w:rPr>
              <w:t>水肿：肾脏疾病所致水肿多为凹陷性水肿，常从眼睑、颜面部开始，逐渐蔓延至全身（如肾小球肾炎），或从下肢开始（如肾病综合征）。​​</w:t>
            </w:r>
          </w:p>
          <w:p w14:paraId="63594F04">
            <w:pPr>
              <w:rPr>
                <w:rFonts w:hint="eastAsia"/>
              </w:rPr>
            </w:pPr>
            <w:r>
              <w:rPr>
                <w:rFonts w:hint="eastAsia"/>
              </w:rPr>
              <w:t>（2）护理措施​</w:t>
            </w:r>
          </w:p>
          <w:p w14:paraId="6685EE86">
            <w:pPr>
              <w:rPr>
                <w:rFonts w:hint="eastAsia"/>
              </w:rPr>
            </w:pPr>
            <w:r>
              <w:rPr>
                <w:rFonts w:hint="eastAsia"/>
              </w:rPr>
              <w:t>水肿护理：限制钠盐摄入（每日＜3g），记录 24 小时出入量及体重；遵医嘱使用利尿剂（如呋塞米），观察尿量及电解质变化；保持皮肤清洁，避免受压。​</w:t>
            </w:r>
          </w:p>
          <w:p w14:paraId="518BFA8C">
            <w:pPr>
              <w:rPr>
                <w:rFonts w:hint="eastAsia"/>
              </w:rPr>
            </w:pPr>
            <w:r>
              <w:rPr>
                <w:rFonts w:hint="eastAsia"/>
              </w:rPr>
              <w:t>高血压护理：监测血压变化（每日 2-4 次），指导患者规律服用降压药；避免情绪激动、剧烈活动，保持充足睡眠。</w:t>
            </w:r>
          </w:p>
          <w:p w14:paraId="54C4BBAB"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二、</w:t>
            </w:r>
            <w:r>
              <w:rPr>
                <w:rFonts w:hint="eastAsia"/>
              </w:rPr>
              <w:t>肾性高血压</w:t>
            </w:r>
          </w:p>
          <w:p w14:paraId="02999C4B"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/>
              </w:rPr>
              <w:t>肾性高血压是指由于肾脏疾病引起的动脉血压升高，是继发性高血压的一种。</w:t>
            </w:r>
          </w:p>
          <w:p w14:paraId="5092A27D">
            <w:pPr>
              <w:numPr>
                <w:ilvl w:val="0"/>
                <w:numId w:val="0"/>
              </w:num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【护理评估】</w:t>
            </w:r>
          </w:p>
          <w:p w14:paraId="53495A78">
            <w:pPr>
              <w:numPr>
                <w:ilvl w:val="0"/>
                <w:numId w:val="0"/>
              </w:num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 xml:space="preserve">1.病史  </w:t>
            </w:r>
          </w:p>
          <w:p w14:paraId="115A30DE">
            <w:pPr>
              <w:numPr>
                <w:ilvl w:val="0"/>
                <w:numId w:val="0"/>
              </w:num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 xml:space="preserve">2.身体评估  </w:t>
            </w:r>
          </w:p>
          <w:p w14:paraId="49B8CF85">
            <w:pPr>
              <w:numPr>
                <w:ilvl w:val="0"/>
                <w:numId w:val="0"/>
              </w:num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注意观察病人的精神状况、生命体征，有无贫血，重点检查血压变化，评估有无心脏、脑及眼底受损情况。</w:t>
            </w:r>
          </w:p>
          <w:p w14:paraId="7F08AFB9">
            <w:pPr>
              <w:numPr>
                <w:ilvl w:val="0"/>
                <w:numId w:val="0"/>
              </w:num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 xml:space="preserve">3.心理-社会资料评估  </w:t>
            </w:r>
          </w:p>
          <w:p w14:paraId="78029A90">
            <w:pPr>
              <w:numPr>
                <w:ilvl w:val="0"/>
                <w:numId w:val="0"/>
              </w:num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4.辅助检查  常规实验室检查；肾功能检查；肾脏影像学检查及心电图检查、X线检查。</w:t>
            </w:r>
          </w:p>
          <w:p w14:paraId="0C3322A0">
            <w:pPr>
              <w:numPr>
                <w:ilvl w:val="0"/>
                <w:numId w:val="0"/>
              </w:num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【护理诊断】</w:t>
            </w:r>
          </w:p>
          <w:p w14:paraId="4DF3D122">
            <w:pPr>
              <w:numPr>
                <w:ilvl w:val="0"/>
                <w:numId w:val="0"/>
              </w:num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体液过多  与高血压有关。</w:t>
            </w:r>
          </w:p>
          <w:p w14:paraId="547B19E7">
            <w:pPr>
              <w:numPr>
                <w:ilvl w:val="0"/>
                <w:numId w:val="0"/>
              </w:num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【护理目标】</w:t>
            </w:r>
          </w:p>
          <w:p w14:paraId="0FB25DA9">
            <w:pPr>
              <w:numPr>
                <w:ilvl w:val="0"/>
                <w:numId w:val="0"/>
              </w:num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1．病人情绪稳定，参与血压调控。</w:t>
            </w:r>
          </w:p>
          <w:p w14:paraId="5ED90685">
            <w:pPr>
              <w:numPr>
                <w:ilvl w:val="0"/>
                <w:numId w:val="0"/>
              </w:num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2．病人血压控制在合适范围，无严重并发症发生。</w:t>
            </w:r>
          </w:p>
          <w:p w14:paraId="5D0BC8F6">
            <w:pPr>
              <w:numPr>
                <w:ilvl w:val="0"/>
                <w:numId w:val="0"/>
              </w:num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【护理措施】</w:t>
            </w:r>
          </w:p>
          <w:p w14:paraId="22532555">
            <w:pPr>
              <w:numPr>
                <w:ilvl w:val="0"/>
                <w:numId w:val="0"/>
              </w:num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（一）一般护理</w:t>
            </w:r>
          </w:p>
          <w:p w14:paraId="1492AC8B">
            <w:pPr>
              <w:numPr>
                <w:ilvl w:val="0"/>
                <w:numId w:val="0"/>
              </w:num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1．休息与活动</w:t>
            </w:r>
          </w:p>
          <w:p w14:paraId="79B30E68">
            <w:pPr>
              <w:numPr>
                <w:ilvl w:val="0"/>
                <w:numId w:val="0"/>
              </w:num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轻度高血压患者应注意劳逸结合，保证足够睡眠，中度以上高血压症状明显者，应卧床休息，卧床可增加尿量，有利血压下降。</w:t>
            </w:r>
          </w:p>
          <w:p w14:paraId="4BCDBCD2">
            <w:pPr>
              <w:numPr>
                <w:ilvl w:val="0"/>
                <w:numId w:val="0"/>
              </w:num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2．饮食护理</w:t>
            </w:r>
          </w:p>
          <w:p w14:paraId="4554AB35">
            <w:pPr>
              <w:numPr>
                <w:ilvl w:val="0"/>
                <w:numId w:val="0"/>
              </w:num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（1）饮食：病人有水肿、高血压时，应给予低盐饮食(3g／d)。</w:t>
            </w:r>
          </w:p>
          <w:p w14:paraId="43504494">
            <w:pPr>
              <w:numPr>
                <w:ilvl w:val="0"/>
                <w:numId w:val="0"/>
              </w:num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（2）进液量：准确记录24h的出入液量。（二）病情观察</w:t>
            </w:r>
          </w:p>
          <w:p w14:paraId="328287D1">
            <w:pPr>
              <w:numPr>
                <w:ilvl w:val="0"/>
                <w:numId w:val="0"/>
              </w:num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5．肾功能不全时，降压药物易在体内积蓄，应同时加强药物不良反应的观察。</w:t>
            </w:r>
          </w:p>
          <w:p w14:paraId="08317145">
            <w:pPr>
              <w:numPr>
                <w:ilvl w:val="0"/>
                <w:numId w:val="0"/>
              </w:num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 xml:space="preserve">（三）健康指导  </w:t>
            </w:r>
          </w:p>
          <w:p w14:paraId="1A4D8207">
            <w:pPr>
              <w:numPr>
                <w:ilvl w:val="0"/>
                <w:numId w:val="0"/>
              </w:num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向病人及其家属解释降压的重要性及降压的具体措施，讲解降压药物合理使用的方法及可能出现的不良反应，教会病人自测血压，调动病人参与血压调控的积极性，提高病人治疗信心，保持血压在合适的稳定范围内。</w:t>
            </w:r>
          </w:p>
          <w:p w14:paraId="6207BC40">
            <w:pPr>
              <w:numPr>
                <w:ilvl w:val="0"/>
                <w:numId w:val="0"/>
              </w:num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【护理评价】</w:t>
            </w:r>
          </w:p>
          <w:p w14:paraId="47B47A5A"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hint="eastAsia"/>
              </w:rPr>
              <w:t>尿路刺激征</w:t>
            </w:r>
          </w:p>
          <w:p w14:paraId="34568239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护理评估​</w:t>
            </w:r>
          </w:p>
          <w:p w14:paraId="060A8680">
            <w:pPr>
              <w:rPr>
                <w:rFonts w:hint="eastAsia"/>
              </w:rPr>
            </w:pPr>
            <w:r>
              <w:rPr>
                <w:rFonts w:hint="eastAsia"/>
              </w:rPr>
              <w:t>症状评估：询问症状出现时间、频率、诱发因素（如饮水、憋尿、性生活）、缓解方式；尿痛的具体部位、性质及程度。​</w:t>
            </w:r>
          </w:p>
          <w:p w14:paraId="1BA1665C">
            <w:pPr>
              <w:rPr>
                <w:rFonts w:hint="eastAsia"/>
              </w:rPr>
            </w:pPr>
            <w:r>
              <w:rPr>
                <w:rFonts w:hint="eastAsia"/>
              </w:rPr>
              <w:t>身体评估：检查肾区有无叩痛、膀胱区有无压痛；观察尿液颜色、性状（如浑浊、异味）。​</w:t>
            </w:r>
          </w:p>
          <w:p w14:paraId="7CA79D61">
            <w:pPr>
              <w:rPr>
                <w:rFonts w:hint="eastAsia"/>
              </w:rPr>
            </w:pPr>
            <w:r>
              <w:rPr>
                <w:rFonts w:hint="eastAsia"/>
              </w:rPr>
              <w:t>辅助检查：尿常规、尿培养、泌尿系超声等结果分析。​</w:t>
            </w:r>
          </w:p>
          <w:p w14:paraId="57BC2B64">
            <w:pPr>
              <w:rPr>
                <w:rFonts w:hint="eastAsia"/>
              </w:rPr>
            </w:pPr>
            <w:r>
              <w:rPr>
                <w:rFonts w:hint="eastAsia"/>
              </w:rPr>
              <w:t>心理评估：评估患者因频繁排尿、尿痛产生的焦虑、烦躁情绪。​</w:t>
            </w:r>
          </w:p>
          <w:p w14:paraId="78251722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护理措施​</w:t>
            </w:r>
          </w:p>
          <w:p w14:paraId="11C6BCE8">
            <w:pPr>
              <w:rPr>
                <w:rFonts w:hint="eastAsia"/>
              </w:rPr>
            </w:pPr>
            <w:r>
              <w:rPr>
                <w:rFonts w:hint="eastAsia"/>
              </w:rPr>
              <w:t>休息与活动：急性发作期嘱患者卧床休息，避免劳累；缓解期适当活动，增强机体抵抗力。​</w:t>
            </w:r>
          </w:p>
          <w:p w14:paraId="5A88D109">
            <w:pPr>
              <w:rPr>
                <w:rFonts w:hint="eastAsia"/>
              </w:rPr>
            </w:pPr>
            <w:r>
              <w:rPr>
                <w:rFonts w:hint="eastAsia"/>
              </w:rPr>
              <w:t>饮食护理：鼓励患者多饮水（每日 1500-2000ml），增加尿量，冲洗尿道；避免辛辣、刺激性食物。​</w:t>
            </w:r>
          </w:p>
          <w:p w14:paraId="760ED0BD">
            <w:pPr>
              <w:rPr>
                <w:rFonts w:hint="eastAsia"/>
              </w:rPr>
            </w:pPr>
            <w:r>
              <w:rPr>
                <w:rFonts w:hint="eastAsia"/>
              </w:rPr>
              <w:t>症状护理：遵医嘱给予抗菌药物（如左氧氟沙星）、解痉止痛药（如颠茄片），观察药物疗效及不良反应；指导患者定时排尿，避免憋尿。​</w:t>
            </w:r>
          </w:p>
          <w:p w14:paraId="071A9150">
            <w:pPr>
              <w:rPr>
                <w:rFonts w:hint="eastAsia"/>
              </w:rPr>
            </w:pPr>
            <w:r>
              <w:rPr>
                <w:rFonts w:hint="eastAsia"/>
              </w:rPr>
              <w:t>心理护理：耐心倾听患者主诉，解释症状原因及预后，缓解焦虑情绪。​</w:t>
            </w:r>
          </w:p>
          <w:p w14:paraId="3048B8A6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</w:rPr>
              <w:t>健康指导​</w:t>
            </w:r>
          </w:p>
          <w:p w14:paraId="313C7C50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四、尿量异常</w:t>
            </w:r>
          </w:p>
          <w:p w14:paraId="03C4503F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尿异常分为尿量异常和尿质异常。尿量异常包括多尿、少尿、无尿。尿质异常有蛋白尿、血尿、白细胞尿、脓尿、细菌尿、管型尿等。</w:t>
            </w:r>
          </w:p>
          <w:p w14:paraId="005FD4AD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【护理评估】</w:t>
            </w:r>
          </w:p>
          <w:p w14:paraId="407DAE41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（一）病史</w:t>
            </w:r>
          </w:p>
          <w:p w14:paraId="0346C590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询问病人尿量及尿检查的情况如尿常规、尿蛋白定量、尿培养等。</w:t>
            </w:r>
          </w:p>
          <w:p w14:paraId="2B6D080B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（二）身体评估</w:t>
            </w:r>
          </w:p>
          <w:p w14:paraId="281E1FCA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（三）心理-社会资料评估  </w:t>
            </w:r>
          </w:p>
          <w:p w14:paraId="2FC96505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（四）辅助检查   </w:t>
            </w:r>
          </w:p>
          <w:p w14:paraId="01EDB086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尿液常规检查；血清电解质检查；肾功能检查；肾脏影像学检查等。</w:t>
            </w:r>
          </w:p>
          <w:p w14:paraId="0D495B15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【护理诊断】</w:t>
            </w:r>
          </w:p>
          <w:p w14:paraId="1D6CB158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1．体液过多  与肾小球滤过率下降，尿量减少有关。</w:t>
            </w:r>
          </w:p>
          <w:p w14:paraId="0B6D8B01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2．有体液不足的危险  与肾功能不全，尿量过多有关。</w:t>
            </w:r>
          </w:p>
          <w:p w14:paraId="5DA84A6B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【护理目标】</w:t>
            </w:r>
          </w:p>
          <w:p w14:paraId="34EFF311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1．体液保持平衡，尿量恢复至正常范围。</w:t>
            </w:r>
          </w:p>
          <w:p w14:paraId="1F6A05AE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2．无严重并发症发生，病人能正常进食、进水，营养状况有所改善。</w:t>
            </w:r>
          </w:p>
          <w:p w14:paraId="2ECFB6DF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【护理措施】</w:t>
            </w:r>
          </w:p>
          <w:p w14:paraId="555E3B0A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（一）体液过多 </w:t>
            </w:r>
          </w:p>
          <w:p w14:paraId="727DE452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（二）有体液不足的危险  </w:t>
            </w:r>
          </w:p>
          <w:p w14:paraId="5988354B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1．注意病人情绪反应，给予必要的解释和安慰。</w:t>
            </w:r>
          </w:p>
          <w:p w14:paraId="3B235DF0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2．注意补充水分，保持电解质和酸碱的平衡，急性肾功能衰竭多尿期的早期仍可发生高钾血症，后期又易发生低钾血症，应根据检查结果指导病人是否进食含钾丰富的食物。</w:t>
            </w:r>
          </w:p>
          <w:p w14:paraId="4D0CD443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3．监测血压，注意有无脱水等表现。</w:t>
            </w:r>
          </w:p>
          <w:p w14:paraId="403A2B7F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【护理评价】</w:t>
            </w:r>
          </w:p>
          <w:p w14:paraId="423E4971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1．体液恢复平衡，尿量达正常范围。</w:t>
            </w:r>
          </w:p>
          <w:p w14:paraId="72997CAF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2．病人能正常进食，营养状况有所改善。无严重并发症发生。</w:t>
            </w:r>
          </w:p>
          <w:p w14:paraId="3968B427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（五）课堂小结与考核​</w:t>
            </w:r>
          </w:p>
          <w:p w14:paraId="59A629DD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小结回顾本节课重点内容，包括泌尿系统常见症状体征的概念、护理评估、核心护理措施及健康指导。​</w:t>
            </w:r>
          </w:p>
          <w:p w14:paraId="6864A786">
            <w:pPr>
              <w:rPr>
                <w:rFonts w:hint="default" w:ascii="宋体" w:hAnsi="宋体" w:eastAsia="宋体" w:cs="宋体"/>
                <w:b/>
                <w:kern w:val="0"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课堂考核：通过提问方式抽查学生掌握情况，如 “膀胱刺激征是什么？护理措施中饮水指导的要求是什么？”​</w:t>
            </w:r>
          </w:p>
        </w:tc>
        <w:tc>
          <w:tcPr>
            <w:tcW w:w="1571" w:type="dxa"/>
            <w:noWrap w:val="0"/>
            <w:vAlign w:val="center"/>
          </w:tcPr>
          <w:p w14:paraId="71E060A9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</w:p>
        </w:tc>
      </w:tr>
      <w:tr w14:paraId="6051D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tblCellSpacing w:w="11" w:type="dxa"/>
        </w:trPr>
        <w:tc>
          <w:tcPr>
            <w:tcW w:w="9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1D6D52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巩固课堂知识内容与方法：</w:t>
            </w:r>
          </w:p>
        </w:tc>
      </w:tr>
      <w:tr w14:paraId="4B1E1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  <w:tblCellSpacing w:w="11" w:type="dxa"/>
        </w:trPr>
        <w:tc>
          <w:tcPr>
            <w:tcW w:w="96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E1ED438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1、通过提问的方式，把重点串讲以达到对知识的巩固</w:t>
            </w:r>
          </w:p>
          <w:p w14:paraId="7DF2B652"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2、简述内科护理研究内容及学习中要注意的问题。</w:t>
            </w:r>
          </w:p>
        </w:tc>
      </w:tr>
      <w:tr w14:paraId="234CC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tblCellSpacing w:w="11" w:type="dxa"/>
        </w:trPr>
        <w:tc>
          <w:tcPr>
            <w:tcW w:w="9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B627C">
            <w:pPr>
              <w:widowControl/>
              <w:spacing w:before="100" w:beforeAutospacing="1" w:after="100" w:afterAutospacing="1" w:line="300" w:lineRule="atLeast"/>
              <w:jc w:val="left"/>
              <w:rPr>
                <w:rFonts w:hint="eastAsia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作业：</w:t>
            </w:r>
            <w:r>
              <w:rPr>
                <w:rFonts w:hint="eastAsia"/>
                <w:color w:val="000000"/>
                <w:sz w:val="24"/>
              </w:rPr>
              <w:t>绘制 “泌尿系统常见症状体征护理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思维导</w:t>
            </w:r>
            <w:r>
              <w:rPr>
                <w:rFonts w:hint="eastAsia"/>
                <w:color w:val="000000"/>
                <w:sz w:val="24"/>
              </w:rPr>
              <w:t>图”。​</w:t>
            </w:r>
          </w:p>
        </w:tc>
      </w:tr>
      <w:tr w14:paraId="0B617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tblCellSpacing w:w="11" w:type="dxa"/>
        </w:trPr>
        <w:tc>
          <w:tcPr>
            <w:tcW w:w="9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1A9CF5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课后分析：</w:t>
            </w:r>
          </w:p>
        </w:tc>
      </w:tr>
      <w:tr w14:paraId="71690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tblCellSpacing w:w="11" w:type="dxa"/>
        </w:trPr>
        <w:tc>
          <w:tcPr>
            <w:tcW w:w="96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8A7594C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</w:p>
        </w:tc>
      </w:tr>
      <w:tr w14:paraId="4B17D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tblCellSpacing w:w="11" w:type="dxa"/>
        </w:trPr>
        <w:tc>
          <w:tcPr>
            <w:tcW w:w="9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403B13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参考资料：</w:t>
            </w:r>
          </w:p>
        </w:tc>
      </w:tr>
      <w:tr w14:paraId="40E45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tblCellSpacing w:w="11" w:type="dxa"/>
        </w:trPr>
        <w:tc>
          <w:tcPr>
            <w:tcW w:w="9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CF84C6">
            <w:pPr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/>
                <w:sz w:val="24"/>
              </w:rPr>
              <w:t xml:space="preserve">1、《内科护理》胡月琴 主编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人民卫生出版社</w:t>
            </w:r>
          </w:p>
        </w:tc>
      </w:tr>
      <w:tr w14:paraId="62A4D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tblCellSpacing w:w="11" w:type="dxa"/>
        </w:trPr>
        <w:tc>
          <w:tcPr>
            <w:tcW w:w="9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D7AE2B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kern w:val="0"/>
                <w:sz w:val="24"/>
              </w:rPr>
              <w:t>2、</w:t>
            </w:r>
            <w:r>
              <w:rPr>
                <w:rFonts w:hint="eastAsia"/>
                <w:sz w:val="24"/>
              </w:rPr>
              <w:t>《内科护理》第2版  马秀芬主编  人民卫生出版社</w:t>
            </w:r>
          </w:p>
        </w:tc>
      </w:tr>
      <w:tr w14:paraId="17A1C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tblCellSpacing w:w="11" w:type="dxa"/>
        </w:trPr>
        <w:tc>
          <w:tcPr>
            <w:tcW w:w="9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D5EC40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/>
                <w:sz w:val="24"/>
              </w:rPr>
              <w:t>3、 《基础护理学》第2版   李小萍主编  人民卫生出版社</w:t>
            </w:r>
          </w:p>
        </w:tc>
      </w:tr>
    </w:tbl>
    <w:p w14:paraId="0B54124E">
      <w:pPr>
        <w:widowControl/>
        <w:wordWrap w:val="0"/>
        <w:spacing w:line="330" w:lineRule="atLeast"/>
        <w:jc w:val="center"/>
        <w:rPr>
          <w:rFonts w:hint="eastAsia"/>
        </w:rPr>
      </w:pPr>
    </w:p>
    <w:sectPr>
      <w:pgSz w:w="11906" w:h="16838"/>
      <w:pgMar w:top="907" w:right="1418" w:bottom="907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7B42A5"/>
    <w:multiLevelType w:val="singleLevel"/>
    <w:tmpl w:val="5B7B42A5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B69"/>
    <w:rsid w:val="00001538"/>
    <w:rsid w:val="00002880"/>
    <w:rsid w:val="00003FFF"/>
    <w:rsid w:val="000100D2"/>
    <w:rsid w:val="00021038"/>
    <w:rsid w:val="00022585"/>
    <w:rsid w:val="00044D3E"/>
    <w:rsid w:val="000453A2"/>
    <w:rsid w:val="00050A45"/>
    <w:rsid w:val="00053D51"/>
    <w:rsid w:val="00057FC6"/>
    <w:rsid w:val="00060143"/>
    <w:rsid w:val="000611FD"/>
    <w:rsid w:val="000673EB"/>
    <w:rsid w:val="0007252D"/>
    <w:rsid w:val="000829E0"/>
    <w:rsid w:val="000902A0"/>
    <w:rsid w:val="000A280A"/>
    <w:rsid w:val="000B04B1"/>
    <w:rsid w:val="000B2BEF"/>
    <w:rsid w:val="000B5446"/>
    <w:rsid w:val="000D5A68"/>
    <w:rsid w:val="000E73B5"/>
    <w:rsid w:val="001016BD"/>
    <w:rsid w:val="00102902"/>
    <w:rsid w:val="00115555"/>
    <w:rsid w:val="001162CB"/>
    <w:rsid w:val="00131716"/>
    <w:rsid w:val="001456E3"/>
    <w:rsid w:val="00153B67"/>
    <w:rsid w:val="0015537E"/>
    <w:rsid w:val="0016136A"/>
    <w:rsid w:val="0016162F"/>
    <w:rsid w:val="00175844"/>
    <w:rsid w:val="001A56CB"/>
    <w:rsid w:val="001A7A38"/>
    <w:rsid w:val="001B294E"/>
    <w:rsid w:val="001B2AD5"/>
    <w:rsid w:val="001B79C4"/>
    <w:rsid w:val="001D05B3"/>
    <w:rsid w:val="001D3129"/>
    <w:rsid w:val="001D4266"/>
    <w:rsid w:val="001D437D"/>
    <w:rsid w:val="001E034C"/>
    <w:rsid w:val="001F1A80"/>
    <w:rsid w:val="001F6518"/>
    <w:rsid w:val="00203D79"/>
    <w:rsid w:val="00210A37"/>
    <w:rsid w:val="002149A8"/>
    <w:rsid w:val="00217D5F"/>
    <w:rsid w:val="00220561"/>
    <w:rsid w:val="00223BE2"/>
    <w:rsid w:val="00231559"/>
    <w:rsid w:val="002425B4"/>
    <w:rsid w:val="00247ABF"/>
    <w:rsid w:val="00260DFF"/>
    <w:rsid w:val="00272C1C"/>
    <w:rsid w:val="002916DB"/>
    <w:rsid w:val="00293367"/>
    <w:rsid w:val="002A0890"/>
    <w:rsid w:val="002A75AF"/>
    <w:rsid w:val="002B148E"/>
    <w:rsid w:val="002B645F"/>
    <w:rsid w:val="002C5B6F"/>
    <w:rsid w:val="002D4979"/>
    <w:rsid w:val="002F0D2C"/>
    <w:rsid w:val="003117B9"/>
    <w:rsid w:val="003249E2"/>
    <w:rsid w:val="00335B02"/>
    <w:rsid w:val="00336384"/>
    <w:rsid w:val="00345940"/>
    <w:rsid w:val="00355437"/>
    <w:rsid w:val="00356AF9"/>
    <w:rsid w:val="00363966"/>
    <w:rsid w:val="00363A7E"/>
    <w:rsid w:val="00372D62"/>
    <w:rsid w:val="00381B68"/>
    <w:rsid w:val="0039424B"/>
    <w:rsid w:val="00397B9B"/>
    <w:rsid w:val="00397C0F"/>
    <w:rsid w:val="003A24A9"/>
    <w:rsid w:val="003A4CC7"/>
    <w:rsid w:val="003A72D5"/>
    <w:rsid w:val="003B2969"/>
    <w:rsid w:val="003B3621"/>
    <w:rsid w:val="003B64D4"/>
    <w:rsid w:val="003B64E4"/>
    <w:rsid w:val="003C3338"/>
    <w:rsid w:val="003C7DAF"/>
    <w:rsid w:val="003D5189"/>
    <w:rsid w:val="003E1CCD"/>
    <w:rsid w:val="003E26B9"/>
    <w:rsid w:val="003F0E59"/>
    <w:rsid w:val="004042F1"/>
    <w:rsid w:val="004109EA"/>
    <w:rsid w:val="0045081C"/>
    <w:rsid w:val="004673F9"/>
    <w:rsid w:val="00473ACB"/>
    <w:rsid w:val="004C01D2"/>
    <w:rsid w:val="004C128A"/>
    <w:rsid w:val="004C14BC"/>
    <w:rsid w:val="004C4830"/>
    <w:rsid w:val="004E5E31"/>
    <w:rsid w:val="00503EF9"/>
    <w:rsid w:val="00511F1E"/>
    <w:rsid w:val="00514663"/>
    <w:rsid w:val="00534619"/>
    <w:rsid w:val="00535B00"/>
    <w:rsid w:val="00565D5D"/>
    <w:rsid w:val="0057605B"/>
    <w:rsid w:val="00592929"/>
    <w:rsid w:val="005C66CC"/>
    <w:rsid w:val="005D763A"/>
    <w:rsid w:val="005E598C"/>
    <w:rsid w:val="005F41BE"/>
    <w:rsid w:val="005F7A58"/>
    <w:rsid w:val="005F7B69"/>
    <w:rsid w:val="00604757"/>
    <w:rsid w:val="0060575A"/>
    <w:rsid w:val="00637F0D"/>
    <w:rsid w:val="00655334"/>
    <w:rsid w:val="006659D1"/>
    <w:rsid w:val="00693D56"/>
    <w:rsid w:val="006A0543"/>
    <w:rsid w:val="006A4325"/>
    <w:rsid w:val="006B239B"/>
    <w:rsid w:val="006B3574"/>
    <w:rsid w:val="006D22AF"/>
    <w:rsid w:val="006D71B9"/>
    <w:rsid w:val="006E17C0"/>
    <w:rsid w:val="006E3BE9"/>
    <w:rsid w:val="006E4745"/>
    <w:rsid w:val="006F70ED"/>
    <w:rsid w:val="00703FB5"/>
    <w:rsid w:val="00712D17"/>
    <w:rsid w:val="007132B4"/>
    <w:rsid w:val="00714FD5"/>
    <w:rsid w:val="00737C2D"/>
    <w:rsid w:val="007424F2"/>
    <w:rsid w:val="00743AB5"/>
    <w:rsid w:val="00752EB5"/>
    <w:rsid w:val="007561D5"/>
    <w:rsid w:val="007657F1"/>
    <w:rsid w:val="007703CC"/>
    <w:rsid w:val="00770B18"/>
    <w:rsid w:val="0077253E"/>
    <w:rsid w:val="007741C8"/>
    <w:rsid w:val="00777278"/>
    <w:rsid w:val="00782DBA"/>
    <w:rsid w:val="007844CD"/>
    <w:rsid w:val="00790BE6"/>
    <w:rsid w:val="007B6228"/>
    <w:rsid w:val="007D1B1A"/>
    <w:rsid w:val="007E306B"/>
    <w:rsid w:val="007E4B58"/>
    <w:rsid w:val="007F58DE"/>
    <w:rsid w:val="007F7FFC"/>
    <w:rsid w:val="00817FE8"/>
    <w:rsid w:val="0083020C"/>
    <w:rsid w:val="00833B17"/>
    <w:rsid w:val="0084382F"/>
    <w:rsid w:val="0085093B"/>
    <w:rsid w:val="00865305"/>
    <w:rsid w:val="00866318"/>
    <w:rsid w:val="008738F7"/>
    <w:rsid w:val="00881DF9"/>
    <w:rsid w:val="0089114F"/>
    <w:rsid w:val="00891E95"/>
    <w:rsid w:val="00897024"/>
    <w:rsid w:val="008A2780"/>
    <w:rsid w:val="008A374F"/>
    <w:rsid w:val="008A3F34"/>
    <w:rsid w:val="008A745B"/>
    <w:rsid w:val="008B10AF"/>
    <w:rsid w:val="008D633F"/>
    <w:rsid w:val="008D7030"/>
    <w:rsid w:val="008E14AC"/>
    <w:rsid w:val="008F7920"/>
    <w:rsid w:val="0090351C"/>
    <w:rsid w:val="009045B5"/>
    <w:rsid w:val="00906185"/>
    <w:rsid w:val="00910DD4"/>
    <w:rsid w:val="009123CF"/>
    <w:rsid w:val="0092453D"/>
    <w:rsid w:val="00945A3C"/>
    <w:rsid w:val="009500DF"/>
    <w:rsid w:val="00961B4F"/>
    <w:rsid w:val="00962406"/>
    <w:rsid w:val="00986A42"/>
    <w:rsid w:val="0098734D"/>
    <w:rsid w:val="009A13CC"/>
    <w:rsid w:val="009B1D73"/>
    <w:rsid w:val="009B34D9"/>
    <w:rsid w:val="009B377B"/>
    <w:rsid w:val="009C459C"/>
    <w:rsid w:val="009C78C9"/>
    <w:rsid w:val="009D6CE5"/>
    <w:rsid w:val="009E2649"/>
    <w:rsid w:val="009F2849"/>
    <w:rsid w:val="009F580B"/>
    <w:rsid w:val="00A02AA0"/>
    <w:rsid w:val="00A10AF6"/>
    <w:rsid w:val="00A150D0"/>
    <w:rsid w:val="00A21E2A"/>
    <w:rsid w:val="00A34CE0"/>
    <w:rsid w:val="00A35FA5"/>
    <w:rsid w:val="00A3663B"/>
    <w:rsid w:val="00A67D6B"/>
    <w:rsid w:val="00A7152F"/>
    <w:rsid w:val="00A729DD"/>
    <w:rsid w:val="00AA28DE"/>
    <w:rsid w:val="00AB6E90"/>
    <w:rsid w:val="00AD5C8E"/>
    <w:rsid w:val="00AE727B"/>
    <w:rsid w:val="00AF1B4B"/>
    <w:rsid w:val="00B03C3A"/>
    <w:rsid w:val="00B0599A"/>
    <w:rsid w:val="00B14BAF"/>
    <w:rsid w:val="00B1590A"/>
    <w:rsid w:val="00B201C9"/>
    <w:rsid w:val="00B24431"/>
    <w:rsid w:val="00B2727E"/>
    <w:rsid w:val="00B41EEC"/>
    <w:rsid w:val="00B50891"/>
    <w:rsid w:val="00B571D6"/>
    <w:rsid w:val="00B73D93"/>
    <w:rsid w:val="00B84430"/>
    <w:rsid w:val="00B84ED3"/>
    <w:rsid w:val="00B86DEC"/>
    <w:rsid w:val="00B96B8C"/>
    <w:rsid w:val="00BA6E10"/>
    <w:rsid w:val="00BD01AB"/>
    <w:rsid w:val="00BE07DF"/>
    <w:rsid w:val="00BE58CD"/>
    <w:rsid w:val="00BE6124"/>
    <w:rsid w:val="00BE7421"/>
    <w:rsid w:val="00C27DA8"/>
    <w:rsid w:val="00C31C8B"/>
    <w:rsid w:val="00C4452D"/>
    <w:rsid w:val="00C5643C"/>
    <w:rsid w:val="00C73BEC"/>
    <w:rsid w:val="00C74BCC"/>
    <w:rsid w:val="00C8426F"/>
    <w:rsid w:val="00C8460B"/>
    <w:rsid w:val="00C9286D"/>
    <w:rsid w:val="00CA1929"/>
    <w:rsid w:val="00CA4C75"/>
    <w:rsid w:val="00CB4B60"/>
    <w:rsid w:val="00CC25BE"/>
    <w:rsid w:val="00CD3489"/>
    <w:rsid w:val="00CE1424"/>
    <w:rsid w:val="00CE2558"/>
    <w:rsid w:val="00CE2A76"/>
    <w:rsid w:val="00CF0789"/>
    <w:rsid w:val="00CF1C91"/>
    <w:rsid w:val="00CF24D6"/>
    <w:rsid w:val="00CF4D83"/>
    <w:rsid w:val="00CF6EAD"/>
    <w:rsid w:val="00D014AA"/>
    <w:rsid w:val="00D03461"/>
    <w:rsid w:val="00D07638"/>
    <w:rsid w:val="00D14E0B"/>
    <w:rsid w:val="00D45DC4"/>
    <w:rsid w:val="00D46545"/>
    <w:rsid w:val="00D54291"/>
    <w:rsid w:val="00D837BF"/>
    <w:rsid w:val="00D8406A"/>
    <w:rsid w:val="00D934CE"/>
    <w:rsid w:val="00D95E2F"/>
    <w:rsid w:val="00DA2FAD"/>
    <w:rsid w:val="00DA51FB"/>
    <w:rsid w:val="00DB34DF"/>
    <w:rsid w:val="00DC69EB"/>
    <w:rsid w:val="00DD1043"/>
    <w:rsid w:val="00DD3C6C"/>
    <w:rsid w:val="00DE5425"/>
    <w:rsid w:val="00DF1295"/>
    <w:rsid w:val="00DF1729"/>
    <w:rsid w:val="00E13173"/>
    <w:rsid w:val="00E13205"/>
    <w:rsid w:val="00E16EC3"/>
    <w:rsid w:val="00E216F1"/>
    <w:rsid w:val="00E36E5E"/>
    <w:rsid w:val="00E42342"/>
    <w:rsid w:val="00E56F09"/>
    <w:rsid w:val="00E646D9"/>
    <w:rsid w:val="00E64DDE"/>
    <w:rsid w:val="00E703B8"/>
    <w:rsid w:val="00E70B12"/>
    <w:rsid w:val="00E94561"/>
    <w:rsid w:val="00EA4350"/>
    <w:rsid w:val="00EB62D5"/>
    <w:rsid w:val="00EC341C"/>
    <w:rsid w:val="00ED45A2"/>
    <w:rsid w:val="00EE261F"/>
    <w:rsid w:val="00EE2B88"/>
    <w:rsid w:val="00EF3BD0"/>
    <w:rsid w:val="00EF708A"/>
    <w:rsid w:val="00F0597D"/>
    <w:rsid w:val="00F06092"/>
    <w:rsid w:val="00F11553"/>
    <w:rsid w:val="00F33D1B"/>
    <w:rsid w:val="00F344CA"/>
    <w:rsid w:val="00F36810"/>
    <w:rsid w:val="00F439F1"/>
    <w:rsid w:val="00F534A2"/>
    <w:rsid w:val="00F560C1"/>
    <w:rsid w:val="00F62DA0"/>
    <w:rsid w:val="00F667C5"/>
    <w:rsid w:val="00F67469"/>
    <w:rsid w:val="00F7221B"/>
    <w:rsid w:val="00F76BA6"/>
    <w:rsid w:val="00F87CB4"/>
    <w:rsid w:val="00F91934"/>
    <w:rsid w:val="00FA6276"/>
    <w:rsid w:val="00FB4AB8"/>
    <w:rsid w:val="00FC4ABA"/>
    <w:rsid w:val="00FD15F4"/>
    <w:rsid w:val="00FD1776"/>
    <w:rsid w:val="00FD1EB7"/>
    <w:rsid w:val="00FD77C0"/>
    <w:rsid w:val="00FF2243"/>
    <w:rsid w:val="06AF78CC"/>
    <w:rsid w:val="19E05225"/>
    <w:rsid w:val="1A452DCD"/>
    <w:rsid w:val="1A8F31A8"/>
    <w:rsid w:val="2EB77094"/>
    <w:rsid w:val="3E4E4E2A"/>
    <w:rsid w:val="474E34F6"/>
    <w:rsid w:val="5B0B27EC"/>
    <w:rsid w:val="661648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3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5">
    <w:name w:val="Body Text Indent 2"/>
    <w:basedOn w:val="1"/>
    <w:uiPriority w:val="0"/>
    <w:pPr>
      <w:spacing w:after="120" w:line="480" w:lineRule="auto"/>
      <w:ind w:left="420" w:leftChars="200"/>
    </w:p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page number"/>
    <w:basedOn w:val="9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番茄花园</Company>
  <Pages>5</Pages>
  <Words>2159</Words>
  <Characters>2250</Characters>
  <Lines>27</Lines>
  <Paragraphs>7</Paragraphs>
  <TotalTime>0</TotalTime>
  <ScaleCrop>false</ScaleCrop>
  <LinksUpToDate>false</LinksUpToDate>
  <CharactersWithSpaces>2445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2007-01-11T08:21:00Z</dcterms:created>
  <dc:creator>SKYLZY</dc:creator>
  <cp:lastModifiedBy>嘟嘟</cp:lastModifiedBy>
  <cp:lastPrinted>2010-01-05T03:08:00Z</cp:lastPrinted>
  <dcterms:modified xsi:type="dcterms:W3CDTF">2025-09-15T03:00:16Z</dcterms:modified>
  <dc:title>南阳医学高等专科学校教案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eyJoZGlkIjoiNTRhMzg2OWJjMjI3MTg1NjMwMzY2YzM2YjFhZmRkZDkiLCJ1c2VySWQiOiI2NzMyNTM1ODMifQ==</vt:lpwstr>
  </property>
  <property fmtid="{D5CDD505-2E9C-101B-9397-08002B2CF9AE}" pid="4" name="ICV">
    <vt:lpwstr>11001629ED994E93BC75946834D374AB_13</vt:lpwstr>
  </property>
</Properties>
</file>